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D3B" w:rsidRPr="00D70ADF" w:rsidRDefault="00022D3B" w:rsidP="00022D3B">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Pr>
          <w:rFonts w:ascii="黑体" w:eastAsia="黑体" w:hAnsi="黑体" w:hint="eastAsia"/>
          <w:sz w:val="32"/>
          <w:szCs w:val="32"/>
        </w:rPr>
        <w:t>涉税服务案例分析</w:t>
      </w:r>
      <w:r w:rsidRPr="00744C17">
        <w:rPr>
          <w:rFonts w:ascii="黑体" w:eastAsia="黑体" w:hAnsi="黑体" w:hint="eastAsia"/>
          <w:sz w:val="32"/>
          <w:szCs w:val="32"/>
        </w:rPr>
        <w:t>》课程</w:t>
      </w:r>
      <w:r>
        <w:rPr>
          <w:rFonts w:ascii="黑体" w:eastAsia="黑体" w:hAnsi="黑体" w:hint="eastAsia"/>
          <w:sz w:val="30"/>
          <w:szCs w:val="30"/>
        </w:rPr>
        <w:t>中英文简介</w:t>
      </w:r>
    </w:p>
    <w:p w:rsidR="00022D3B" w:rsidRPr="00744C17" w:rsidRDefault="00022D3B" w:rsidP="00022D3B">
      <w:pPr>
        <w:spacing w:line="560" w:lineRule="exact"/>
        <w:jc w:val="center"/>
        <w:rPr>
          <w:rFonts w:ascii="仿宋_GB2312" w:eastAsia="仿宋_GB2312"/>
          <w:bCs/>
          <w:color w:val="000000"/>
          <w:kern w:val="0"/>
          <w:sz w:val="28"/>
          <w:szCs w:val="28"/>
        </w:rPr>
      </w:pPr>
      <w:r w:rsidRPr="00022D3B">
        <w:rPr>
          <w:rFonts w:eastAsia="仿宋_GB2312"/>
          <w:bCs/>
          <w:color w:val="000000"/>
          <w:kern w:val="0"/>
          <w:sz w:val="28"/>
          <w:szCs w:val="28"/>
        </w:rPr>
        <w:t>Tax - related Services Practice</w:t>
      </w:r>
    </w:p>
    <w:p w:rsidR="00022D3B" w:rsidRPr="00D70ADF" w:rsidRDefault="00022D3B" w:rsidP="00022D3B">
      <w:pPr>
        <w:spacing w:line="500" w:lineRule="exact"/>
        <w:rPr>
          <w:rFonts w:ascii="仿宋_GB2312" w:eastAsia="仿宋_GB2312" w:hAnsi="宋体"/>
          <w:sz w:val="32"/>
          <w:szCs w:val="32"/>
        </w:rPr>
      </w:pPr>
    </w:p>
    <w:p w:rsidR="00022D3B" w:rsidRPr="00456152" w:rsidRDefault="00022D3B" w:rsidP="00C96007">
      <w:pPr>
        <w:tabs>
          <w:tab w:val="left" w:pos="4200"/>
        </w:tabs>
        <w:spacing w:line="500" w:lineRule="exact"/>
        <w:rPr>
          <w:rFonts w:ascii="宋体" w:hAnsi="宋体"/>
          <w:szCs w:val="21"/>
        </w:rPr>
      </w:pPr>
      <w:r w:rsidRPr="00D67057">
        <w:rPr>
          <w:rFonts w:ascii="黑体" w:eastAsia="黑体" w:hAnsi="黑体" w:hint="eastAsia"/>
          <w:szCs w:val="21"/>
        </w:rPr>
        <w:t>课程代码：</w:t>
      </w:r>
      <w:r w:rsidR="00ED43D5" w:rsidRPr="00ED43D5">
        <w:rPr>
          <w:rFonts w:ascii="黑体" w:eastAsia="黑体" w:hAnsi="黑体"/>
          <w:szCs w:val="21"/>
        </w:rPr>
        <w:t>090672B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Pr="00456152">
        <w:rPr>
          <w:rFonts w:ascii="宋体" w:hAnsi="宋体"/>
          <w:szCs w:val="21"/>
        </w:rPr>
        <w:t xml:space="preserve"> </w:t>
      </w:r>
      <w:r w:rsidR="00ED43D5" w:rsidRPr="00ED43D5">
        <w:rPr>
          <w:rFonts w:ascii="宋体" w:hAnsi="宋体"/>
          <w:szCs w:val="21"/>
        </w:rPr>
        <w:t>090672B</w:t>
      </w:r>
      <w:bookmarkStart w:id="0" w:name="_GoBack"/>
      <w:bookmarkEnd w:id="0"/>
    </w:p>
    <w:p w:rsidR="00022D3B" w:rsidRPr="00D67057" w:rsidRDefault="00022D3B" w:rsidP="00022D3B">
      <w:pPr>
        <w:tabs>
          <w:tab w:val="left" w:pos="4111"/>
        </w:tabs>
        <w:spacing w:line="500" w:lineRule="exact"/>
        <w:rPr>
          <w:rFonts w:eastAsia="仿宋_GB2312"/>
          <w:b/>
          <w:sz w:val="32"/>
          <w:szCs w:val="32"/>
        </w:rPr>
      </w:pPr>
      <w:r w:rsidRPr="00D67057">
        <w:rPr>
          <w:rFonts w:ascii="黑体" w:eastAsia="黑体" w:hAnsi="黑体" w:hint="eastAsia"/>
          <w:szCs w:val="21"/>
        </w:rPr>
        <w:t>课程名称：</w:t>
      </w:r>
      <w:r>
        <w:rPr>
          <w:rFonts w:ascii="黑体" w:eastAsia="黑体" w:hAnsi="黑体" w:hint="eastAsia"/>
          <w:szCs w:val="21"/>
        </w:rPr>
        <w:t>涉税服务案例分析</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Pr="00022D3B">
        <w:rPr>
          <w:rFonts w:eastAsia="仿宋_GB2312"/>
          <w:b/>
          <w:szCs w:val="21"/>
        </w:rPr>
        <w:t>Tax - related Services Practice</w:t>
      </w:r>
    </w:p>
    <w:p w:rsidR="00022D3B" w:rsidRPr="00D70ADF" w:rsidRDefault="00022D3B" w:rsidP="00022D3B">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Pr>
          <w:rFonts w:eastAsia="仿宋_GB2312" w:hint="eastAsia"/>
          <w:b/>
          <w:szCs w:val="21"/>
        </w:rPr>
        <w:t>32</w:t>
      </w:r>
    </w:p>
    <w:p w:rsidR="00022D3B" w:rsidRPr="00D70ADF" w:rsidRDefault="00022D3B" w:rsidP="00022D3B">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Pr>
          <w:rFonts w:eastAsia="仿宋_GB2312" w:hint="eastAsia"/>
          <w:b/>
          <w:szCs w:val="21"/>
        </w:rPr>
        <w:t>2</w:t>
      </w:r>
    </w:p>
    <w:p w:rsidR="00022D3B" w:rsidRPr="00D67057" w:rsidRDefault="00022D3B" w:rsidP="00022D3B">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Pr>
          <w:rFonts w:ascii="黑体" w:eastAsia="黑体" w:hAnsi="黑体" w:hint="eastAsia"/>
          <w:szCs w:val="21"/>
        </w:rPr>
        <w:t>开卷</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Pr>
          <w:rFonts w:eastAsia="仿宋_GB2312" w:hint="eastAsia"/>
          <w:b/>
          <w:szCs w:val="21"/>
        </w:rPr>
        <w:t>open</w:t>
      </w:r>
    </w:p>
    <w:p w:rsidR="00022D3B" w:rsidRPr="00581186" w:rsidRDefault="00022D3B" w:rsidP="00022D3B">
      <w:pPr>
        <w:tabs>
          <w:tab w:val="left" w:pos="4111"/>
        </w:tabs>
        <w:spacing w:line="500" w:lineRule="exact"/>
        <w:ind w:left="5565" w:hangingChars="2650" w:hanging="5565"/>
        <w:jc w:val="left"/>
        <w:rPr>
          <w:rFonts w:eastAsia="仿宋_GB2312"/>
          <w:b/>
          <w:szCs w:val="21"/>
        </w:rPr>
      </w:pPr>
      <w:r w:rsidRPr="00D67057">
        <w:rPr>
          <w:rFonts w:ascii="黑体" w:eastAsia="黑体" w:hAnsi="黑体" w:hint="eastAsia"/>
          <w:szCs w:val="21"/>
        </w:rPr>
        <w:t>先修课程</w:t>
      </w:r>
      <w:r w:rsidRPr="00F55D6C">
        <w:rPr>
          <w:rFonts w:ascii="黑体" w:eastAsia="黑体" w:hAnsi="黑体" w:hint="eastAsia"/>
          <w:szCs w:val="21"/>
        </w:rPr>
        <w:t>：</w:t>
      </w:r>
      <w:r>
        <w:rPr>
          <w:rFonts w:ascii="黑体" w:eastAsia="黑体" w:hAnsi="黑体" w:hint="eastAsia"/>
          <w:szCs w:val="21"/>
        </w:rPr>
        <w:t>中国税制、会计学基础</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Pr>
          <w:rFonts w:eastAsia="仿宋_GB2312" w:hint="eastAsia"/>
          <w:b/>
          <w:szCs w:val="21"/>
        </w:rPr>
        <w:t>Taxation</w:t>
      </w:r>
      <w:r>
        <w:rPr>
          <w:rFonts w:eastAsia="仿宋_GB2312"/>
          <w:b/>
          <w:szCs w:val="21"/>
        </w:rPr>
        <w:t xml:space="preserve"> </w:t>
      </w:r>
      <w:r>
        <w:rPr>
          <w:rFonts w:eastAsia="仿宋_GB2312" w:hint="eastAsia"/>
          <w:b/>
          <w:szCs w:val="21"/>
        </w:rPr>
        <w:t>of China</w:t>
      </w:r>
      <w:r>
        <w:rPr>
          <w:rFonts w:eastAsia="仿宋_GB2312" w:hint="eastAsia"/>
          <w:b/>
          <w:szCs w:val="21"/>
        </w:rPr>
        <w:t>，</w:t>
      </w:r>
      <w:r w:rsidRPr="00B2488F">
        <w:rPr>
          <w:rFonts w:eastAsia="仿宋_GB2312"/>
          <w:b/>
          <w:szCs w:val="21"/>
        </w:rPr>
        <w:t>Fundamental Accounting</w:t>
      </w:r>
    </w:p>
    <w:p w:rsidR="00744C17" w:rsidRPr="00022D3B" w:rsidRDefault="00744C17" w:rsidP="00744C17">
      <w:pPr>
        <w:widowControl/>
        <w:spacing w:line="500" w:lineRule="exact"/>
        <w:jc w:val="left"/>
        <w:rPr>
          <w:rFonts w:ascii="仿宋_GB2312" w:eastAsia="仿宋_GB2312"/>
          <w:kern w:val="0"/>
          <w:sz w:val="32"/>
          <w:szCs w:val="32"/>
        </w:rPr>
      </w:pPr>
    </w:p>
    <w:p w:rsidR="00022D3B" w:rsidRDefault="00022D3B" w:rsidP="00744C17">
      <w:pPr>
        <w:widowControl/>
        <w:spacing w:line="500" w:lineRule="exact"/>
        <w:ind w:firstLineChars="200" w:firstLine="420"/>
        <w:jc w:val="left"/>
        <w:rPr>
          <w:rFonts w:ascii="宋体" w:hAnsi="宋体"/>
          <w:kern w:val="0"/>
          <w:szCs w:val="21"/>
        </w:rPr>
      </w:pPr>
      <w:r w:rsidRPr="00022D3B">
        <w:rPr>
          <w:rFonts w:ascii="宋体" w:hAnsi="宋体" w:hint="eastAsia"/>
          <w:kern w:val="0"/>
          <w:szCs w:val="21"/>
        </w:rPr>
        <w:t>《涉税服务案例分析》属于财政、税务等财经类专业核心课程，也是税务专业课程体系下的重要组成部分。本课程通过对纳税实务的典型案例从一般税务处理、政策依据、执行经验等视角进行深度挖掘，总结纳税实务中一般规律及经验方法，使学生能够掌握纳税实务业务流程，理解实务操作方法，将税收理论更好地应用于实践当中。</w:t>
      </w:r>
    </w:p>
    <w:p w:rsidR="00744C17" w:rsidRPr="00D67057" w:rsidRDefault="00022D3B" w:rsidP="00022D3B">
      <w:pPr>
        <w:widowControl/>
        <w:spacing w:line="500" w:lineRule="exact"/>
        <w:ind w:firstLineChars="200" w:firstLine="420"/>
        <w:jc w:val="left"/>
        <w:rPr>
          <w:rFonts w:ascii="宋体" w:hAnsi="宋体"/>
          <w:kern w:val="0"/>
          <w:szCs w:val="21"/>
        </w:rPr>
      </w:pPr>
      <w:r>
        <w:rPr>
          <w:rFonts w:ascii="宋体" w:hAnsi="宋体" w:hint="eastAsia"/>
          <w:kern w:val="0"/>
          <w:szCs w:val="21"/>
        </w:rPr>
        <w:t>本课程分为六</w:t>
      </w:r>
      <w:r w:rsidR="007F7FE3">
        <w:rPr>
          <w:rFonts w:ascii="宋体" w:hAnsi="宋体" w:hint="eastAsia"/>
          <w:kern w:val="0"/>
          <w:szCs w:val="21"/>
        </w:rPr>
        <w:t>个章节，分别是</w:t>
      </w:r>
      <w:r w:rsidRPr="00022D3B">
        <w:rPr>
          <w:rFonts w:ascii="宋体" w:hAnsi="宋体" w:hint="eastAsia"/>
          <w:kern w:val="0"/>
          <w:szCs w:val="21"/>
        </w:rPr>
        <w:t>“营改增”案例分析</w:t>
      </w:r>
      <w:r>
        <w:rPr>
          <w:rFonts w:ascii="宋体" w:hAnsi="宋体" w:hint="eastAsia"/>
          <w:kern w:val="0"/>
          <w:szCs w:val="21"/>
        </w:rPr>
        <w:t>，</w:t>
      </w:r>
      <w:r w:rsidRPr="00022D3B">
        <w:rPr>
          <w:rFonts w:ascii="宋体" w:hAnsi="宋体" w:hint="eastAsia"/>
          <w:kern w:val="0"/>
          <w:szCs w:val="21"/>
        </w:rPr>
        <w:t>所得税案例分析</w:t>
      </w:r>
      <w:r>
        <w:rPr>
          <w:rFonts w:ascii="宋体" w:hAnsi="宋体" w:hint="eastAsia"/>
          <w:kern w:val="0"/>
          <w:szCs w:val="21"/>
        </w:rPr>
        <w:t>，</w:t>
      </w:r>
      <w:r w:rsidRPr="00022D3B">
        <w:rPr>
          <w:rFonts w:ascii="宋体" w:hAnsi="宋体" w:hint="eastAsia"/>
          <w:kern w:val="0"/>
          <w:szCs w:val="21"/>
        </w:rPr>
        <w:t>土地增值税案例分析</w:t>
      </w:r>
      <w:r>
        <w:rPr>
          <w:rFonts w:ascii="宋体" w:hAnsi="宋体" w:hint="eastAsia"/>
          <w:kern w:val="0"/>
          <w:szCs w:val="21"/>
        </w:rPr>
        <w:t>，</w:t>
      </w:r>
      <w:r w:rsidRPr="00022D3B">
        <w:rPr>
          <w:rFonts w:ascii="宋体" w:hAnsi="宋体" w:hint="eastAsia"/>
          <w:kern w:val="0"/>
          <w:szCs w:val="21"/>
        </w:rPr>
        <w:t>消费税案例分析</w:t>
      </w:r>
      <w:r>
        <w:rPr>
          <w:rFonts w:ascii="宋体" w:hAnsi="宋体" w:hint="eastAsia"/>
          <w:kern w:val="0"/>
          <w:szCs w:val="21"/>
        </w:rPr>
        <w:t>，</w:t>
      </w:r>
      <w:r w:rsidRPr="00022D3B">
        <w:rPr>
          <w:rFonts w:ascii="宋体" w:hAnsi="宋体" w:hint="eastAsia"/>
          <w:kern w:val="0"/>
          <w:szCs w:val="21"/>
        </w:rPr>
        <w:t>印花税、房产税等小税种案例分析</w:t>
      </w:r>
      <w:r>
        <w:rPr>
          <w:rFonts w:ascii="宋体" w:hAnsi="宋体" w:hint="eastAsia"/>
          <w:kern w:val="0"/>
          <w:szCs w:val="21"/>
        </w:rPr>
        <w:t>，</w:t>
      </w:r>
      <w:r w:rsidRPr="00022D3B">
        <w:rPr>
          <w:rFonts w:ascii="宋体" w:hAnsi="宋体" w:hint="eastAsia"/>
          <w:kern w:val="0"/>
          <w:szCs w:val="21"/>
        </w:rPr>
        <w:t>车船税、车辆购置税等小税种案例分析</w:t>
      </w:r>
      <w:r>
        <w:rPr>
          <w:rFonts w:ascii="宋体" w:hAnsi="宋体" w:hint="eastAsia"/>
          <w:kern w:val="0"/>
          <w:szCs w:val="21"/>
        </w:rPr>
        <w:t>。</w:t>
      </w:r>
    </w:p>
    <w:p w:rsidR="00744C17" w:rsidRPr="00D70ADF" w:rsidRDefault="00744C17" w:rsidP="00744C17">
      <w:pPr>
        <w:widowControl/>
        <w:spacing w:line="500" w:lineRule="exact"/>
        <w:ind w:firstLineChars="200" w:firstLine="640"/>
        <w:jc w:val="left"/>
        <w:rPr>
          <w:rStyle w:val="longtext1"/>
          <w:rFonts w:ascii="仿宋_GB2312" w:eastAsia="仿宋_GB2312"/>
          <w:color w:val="000000"/>
          <w:sz w:val="32"/>
          <w:szCs w:val="32"/>
        </w:rPr>
      </w:pPr>
    </w:p>
    <w:p w:rsidR="00C7059A" w:rsidRDefault="00022D3B" w:rsidP="00022D3B">
      <w:pPr>
        <w:widowControl/>
        <w:spacing w:line="500" w:lineRule="exact"/>
        <w:ind w:firstLineChars="200" w:firstLine="420"/>
        <w:rPr>
          <w:rFonts w:eastAsia="仿宋_GB2312"/>
          <w:szCs w:val="21"/>
        </w:rPr>
      </w:pPr>
      <w:r w:rsidRPr="00022D3B">
        <w:rPr>
          <w:rFonts w:eastAsia="仿宋_GB2312" w:hint="eastAsia"/>
          <w:szCs w:val="21"/>
        </w:rPr>
        <w:t>Tax - related Services Practice is one of professional core courses in finance and economics subjects</w:t>
      </w:r>
      <w:r w:rsidRPr="00022D3B">
        <w:rPr>
          <w:rFonts w:eastAsia="仿宋_GB2312" w:hint="eastAsia"/>
          <w:szCs w:val="21"/>
        </w:rPr>
        <w:t>，</w:t>
      </w:r>
      <w:r w:rsidRPr="00022D3B">
        <w:rPr>
          <w:rFonts w:eastAsia="仿宋_GB2312" w:hint="eastAsia"/>
          <w:szCs w:val="21"/>
        </w:rPr>
        <w:t>but also an important part of the tax professional curriculum system</w:t>
      </w:r>
      <w:r>
        <w:rPr>
          <w:rFonts w:eastAsia="仿宋_GB2312" w:hint="eastAsia"/>
          <w:szCs w:val="21"/>
        </w:rPr>
        <w:t xml:space="preserve">. </w:t>
      </w:r>
      <w:r w:rsidRPr="00022D3B">
        <w:rPr>
          <w:rFonts w:eastAsia="仿宋_GB2312" w:hint="eastAsia"/>
          <w:szCs w:val="21"/>
        </w:rPr>
        <w:t>This course summarizes the general rules and empirical methods of taxation practice from the perspective of general tax treatment, policy basis and implementation experience, so as to enable students to master the process of tax practice and understand the practical operation method</w:t>
      </w:r>
      <w:r>
        <w:rPr>
          <w:rFonts w:eastAsia="仿宋_GB2312" w:hint="eastAsia"/>
          <w:szCs w:val="21"/>
        </w:rPr>
        <w:t>.</w:t>
      </w:r>
      <w:r w:rsidRPr="00022D3B">
        <w:rPr>
          <w:rFonts w:eastAsia="仿宋_GB2312" w:hint="eastAsia"/>
          <w:szCs w:val="21"/>
        </w:rPr>
        <w:t xml:space="preserve"> By studying this course, students can apply tax theory to practice better</w:t>
      </w:r>
      <w:r>
        <w:rPr>
          <w:rFonts w:eastAsia="仿宋_GB2312" w:hint="eastAsia"/>
          <w:szCs w:val="21"/>
        </w:rPr>
        <w:t>.</w:t>
      </w:r>
    </w:p>
    <w:p w:rsidR="00022D3B" w:rsidRDefault="00022D3B" w:rsidP="00022D3B">
      <w:pPr>
        <w:widowControl/>
        <w:spacing w:line="500" w:lineRule="exact"/>
        <w:ind w:firstLineChars="200" w:firstLine="420"/>
      </w:pPr>
      <w:r w:rsidRPr="00022D3B">
        <w:t>The course is divided in</w:t>
      </w:r>
      <w:r>
        <w:t xml:space="preserve">to six chapters, </w:t>
      </w:r>
      <w:r>
        <w:rPr>
          <w:rFonts w:hint="eastAsia"/>
        </w:rPr>
        <w:t>including</w:t>
      </w:r>
      <w:r w:rsidRPr="00022D3B">
        <w:t xml:space="preserve"> the </w:t>
      </w:r>
      <w:r>
        <w:rPr>
          <w:rFonts w:hint="eastAsia"/>
        </w:rPr>
        <w:t xml:space="preserve">case </w:t>
      </w:r>
      <w:r w:rsidRPr="00022D3B">
        <w:t>analysis of replacing business tax</w:t>
      </w:r>
      <w:r>
        <w:t xml:space="preserve"> with value-added tax</w:t>
      </w:r>
      <w:r w:rsidR="00C96007">
        <w:rPr>
          <w:rFonts w:hint="eastAsia"/>
        </w:rPr>
        <w:t xml:space="preserve"> </w:t>
      </w:r>
      <w:r>
        <w:t>(VAT) "</w:t>
      </w:r>
      <w:r w:rsidR="00C96007">
        <w:rPr>
          <w:rFonts w:hint="eastAsia"/>
        </w:rPr>
        <w:t>,</w:t>
      </w:r>
      <w:r>
        <w:t xml:space="preserve"> </w:t>
      </w:r>
      <w:r w:rsidR="004C22F1">
        <w:t>case analysis of the income tax</w:t>
      </w:r>
      <w:r w:rsidR="00C96007">
        <w:rPr>
          <w:rFonts w:hint="eastAsia"/>
        </w:rPr>
        <w:t>,</w:t>
      </w:r>
      <w:r w:rsidRPr="00022D3B">
        <w:t xml:space="preserve"> case analysis of the land </w:t>
      </w:r>
      <w:r w:rsidRPr="00022D3B">
        <w:lastRenderedPageBreak/>
        <w:t>value-added tax</w:t>
      </w:r>
      <w:r w:rsidR="004C22F1">
        <w:t>,</w:t>
      </w:r>
      <w:r w:rsidR="00C96007">
        <w:rPr>
          <w:rFonts w:hint="eastAsia"/>
        </w:rPr>
        <w:t xml:space="preserve"> </w:t>
      </w:r>
      <w:r w:rsidR="004C22F1">
        <w:t>consumption tax case analysis</w:t>
      </w:r>
      <w:r w:rsidR="00C96007">
        <w:rPr>
          <w:rFonts w:hint="eastAsia"/>
        </w:rPr>
        <w:t xml:space="preserve">, </w:t>
      </w:r>
      <w:r>
        <w:rPr>
          <w:rFonts w:hint="eastAsia"/>
        </w:rPr>
        <w:t xml:space="preserve">case </w:t>
      </w:r>
      <w:r w:rsidRPr="00022D3B">
        <w:t>analysis of the stamp tax, prope</w:t>
      </w:r>
      <w:r>
        <w:t>rty tax and other small tax</w:t>
      </w:r>
      <w:r>
        <w:rPr>
          <w:rFonts w:hint="eastAsia"/>
        </w:rPr>
        <w:t xml:space="preserve"> </w:t>
      </w:r>
      <w:r w:rsidRPr="00022D3B">
        <w:t>category</w:t>
      </w:r>
      <w:r w:rsidR="00C96007">
        <w:rPr>
          <w:rFonts w:hint="eastAsia"/>
        </w:rPr>
        <w:t>,</w:t>
      </w:r>
      <w:r>
        <w:rPr>
          <w:rFonts w:hint="eastAsia"/>
        </w:rPr>
        <w:t xml:space="preserve"> </w:t>
      </w:r>
      <w:r w:rsidRPr="00022D3B">
        <w:t>travel tax, vehicle purchase tax and other small tax category</w:t>
      </w:r>
      <w:r>
        <w:rPr>
          <w:rFonts w:hint="eastAsia"/>
        </w:rPr>
        <w:t xml:space="preserve"> </w:t>
      </w:r>
      <w:r w:rsidRPr="00022D3B">
        <w:t>case analysis.</w:t>
      </w:r>
    </w:p>
    <w:sectPr w:rsidR="00022D3B" w:rsidSect="000A24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FE2" w:rsidRDefault="009A5FE2" w:rsidP="008B693E">
      <w:r>
        <w:separator/>
      </w:r>
    </w:p>
  </w:endnote>
  <w:endnote w:type="continuationSeparator" w:id="0">
    <w:p w:rsidR="009A5FE2" w:rsidRDefault="009A5FE2" w:rsidP="008B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FE2" w:rsidRDefault="009A5FE2" w:rsidP="008B693E">
      <w:r>
        <w:separator/>
      </w:r>
    </w:p>
  </w:footnote>
  <w:footnote w:type="continuationSeparator" w:id="0">
    <w:p w:rsidR="009A5FE2" w:rsidRDefault="009A5FE2" w:rsidP="008B69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022D3B"/>
    <w:rsid w:val="000A2402"/>
    <w:rsid w:val="004B766F"/>
    <w:rsid w:val="004C22F1"/>
    <w:rsid w:val="00581186"/>
    <w:rsid w:val="00744C17"/>
    <w:rsid w:val="007F7FE3"/>
    <w:rsid w:val="008B693E"/>
    <w:rsid w:val="009779DF"/>
    <w:rsid w:val="009A5FE2"/>
    <w:rsid w:val="00C7059A"/>
    <w:rsid w:val="00C96007"/>
    <w:rsid w:val="00E3115B"/>
    <w:rsid w:val="00ED43D5"/>
    <w:rsid w:val="00F54F4B"/>
    <w:rsid w:val="00F55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EE6E01-D260-43E5-835F-E2DC332A1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semiHidden/>
    <w:unhideWhenUsed/>
    <w:rsid w:val="008B69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B693E"/>
    <w:rPr>
      <w:rFonts w:ascii="Times New Roman" w:eastAsia="宋体" w:hAnsi="Times New Roman" w:cs="Times New Roman"/>
      <w:sz w:val="18"/>
      <w:szCs w:val="18"/>
    </w:rPr>
  </w:style>
  <w:style w:type="paragraph" w:styleId="a4">
    <w:name w:val="footer"/>
    <w:basedOn w:val="a"/>
    <w:link w:val="Char0"/>
    <w:uiPriority w:val="99"/>
    <w:semiHidden/>
    <w:unhideWhenUsed/>
    <w:rsid w:val="008B693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B693E"/>
    <w:rPr>
      <w:rFonts w:ascii="Times New Roman" w:eastAsia="宋体" w:hAnsi="Times New Roman" w:cs="Times New Roman"/>
      <w:sz w:val="18"/>
      <w:szCs w:val="18"/>
    </w:rPr>
  </w:style>
  <w:style w:type="character" w:styleId="a5">
    <w:name w:val="Emphasis"/>
    <w:basedOn w:val="a0"/>
    <w:uiPriority w:val="20"/>
    <w:qFormat/>
    <w:rsid w:val="00581186"/>
    <w:rPr>
      <w:i w:val="0"/>
      <w:iCs w:val="0"/>
      <w:color w:val="CC0000"/>
    </w:rPr>
  </w:style>
  <w:style w:type="paragraph" w:styleId="a6">
    <w:name w:val="Body Text Indent"/>
    <w:basedOn w:val="a"/>
    <w:link w:val="Char1"/>
    <w:rsid w:val="007F7FE3"/>
    <w:pPr>
      <w:widowControl/>
      <w:spacing w:before="100" w:beforeAutospacing="1" w:after="100" w:afterAutospacing="1"/>
      <w:jc w:val="left"/>
    </w:pPr>
    <w:rPr>
      <w:rFonts w:ascii="宋体" w:hAnsi="宋体" w:cs="宋体"/>
      <w:kern w:val="0"/>
      <w:sz w:val="24"/>
    </w:rPr>
  </w:style>
  <w:style w:type="character" w:customStyle="1" w:styleId="Char1">
    <w:name w:val="正文文本缩进 Char"/>
    <w:basedOn w:val="a0"/>
    <w:link w:val="a6"/>
    <w:rsid w:val="007F7FE3"/>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8704303">
      <w:bodyDiv w:val="1"/>
      <w:marLeft w:val="0"/>
      <w:marRight w:val="0"/>
      <w:marTop w:val="0"/>
      <w:marBottom w:val="0"/>
      <w:divBdr>
        <w:top w:val="none" w:sz="0" w:space="0" w:color="auto"/>
        <w:left w:val="none" w:sz="0" w:space="0" w:color="auto"/>
        <w:bottom w:val="none" w:sz="0" w:space="0" w:color="auto"/>
        <w:right w:val="none" w:sz="0" w:space="0" w:color="auto"/>
      </w:divBdr>
    </w:div>
    <w:div w:id="208109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212</Words>
  <Characters>1214</Characters>
  <Application>Microsoft Office Word</Application>
  <DocSecurity>0</DocSecurity>
  <Lines>10</Lines>
  <Paragraphs>2</Paragraphs>
  <ScaleCrop>false</ScaleCrop>
  <Company/>
  <LinksUpToDate>false</LinksUpToDate>
  <CharactersWithSpaces>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Dell</cp:lastModifiedBy>
  <cp:revision>2</cp:revision>
  <dcterms:created xsi:type="dcterms:W3CDTF">2017-11-22T05:39:00Z</dcterms:created>
  <dcterms:modified xsi:type="dcterms:W3CDTF">2017-11-22T05:39:00Z</dcterms:modified>
</cp:coreProperties>
</file>